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D4942" w:rsidRDefault="00FF3426" w:rsidP="00F149CE">
      <w:pPr>
        <w:pStyle w:val="Title"/>
        <w:rPr>
          <w:szCs w:val="64"/>
        </w:rPr>
      </w:pPr>
      <w:r w:rsidRPr="008D4942">
        <w:rPr>
          <w:szCs w:val="64"/>
          <w:lang w:bidi="it-IT"/>
        </w:rPr>
        <w:t>Visite sotto supervisione e trasferimento dei figli</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 xml:space="preserve">Per i casi in cui i genitori separati sono in conflitto tra loro o se ci sono preoccupazioni sull’incolumità dei figli, il Governo australiano ha creato il Servizio Children’s Contact. Questo servizio garantisce la sicurezza del trasferimento dei bambini da un genitore all’altro e organizza le visite genitoriali sotto supervisione. In questo modo, ciascun genitore ha la possibilità di trascorrere del tempo con il proprio figlio. </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Che cos’ è il Servizio Children’s Contact?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Il Servizio a Children’s Contact aiuta i figli di genitori separati a mantenere un rapporto anche con il genitore con il quale non convivono.  Nei casi in cui il trasferimento dei figli da un genitore all’altro sia un problema, il Servizio Children’s Contact fornisce un ambiente neutrale per le visite.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 xml:space="preserve">Quando è necessario, o in seguito a un ordine del tribunale, il Servizio può monitorare il tempo che i bambini trascorrono con l’uno o l’altro genitore e insieme agli altri membri della famiglia. In alcuni casi queste misure sono ritenute necessarie in seguito ad accuse di violenza.  In altri, per dare al figlio la possibilità di ricominciare a vedere il genitore con cui non ha avuto contatti in passato. </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 xml:space="preserve">Che </w:t>
      </w:r>
      <w:r w:rsidR="002928BE" w:rsidRPr="00FA0950">
        <w:t>cos’</w:t>
      </w:r>
      <w:r w:rsidR="002928BE" w:rsidRPr="002928BE">
        <w:t>è</w:t>
      </w:r>
      <w:r w:rsidRPr="008D4942">
        <w:rPr>
          <w:rFonts w:eastAsia="Times New Roman"/>
          <w:szCs w:val="32"/>
          <w:lang w:bidi="it-IT"/>
        </w:rPr>
        <w:t xml:space="preserve"> una visita sotto supervisione?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Per assicurare al bambino una situazione controllata e protetta in cui può passare del tempo con un genitore o un altro membro della famiglia, la visita può essere supervisionata da un assistente dei servizi Children’s Contact.</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 xml:space="preserve">Che </w:t>
      </w:r>
      <w:r w:rsidR="002928BE" w:rsidRPr="002928BE">
        <w:t>cos’è</w:t>
      </w:r>
      <w:r w:rsidRPr="008D4942">
        <w:rPr>
          <w:rFonts w:eastAsia="Times New Roman"/>
          <w:szCs w:val="32"/>
          <w:lang w:bidi="it-IT"/>
        </w:rPr>
        <w:t xml:space="preserve"> un trasferimento controllato?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A volte, nelle famiglie separate, il figlio deve essere “consegnato” e poi “ripreso” dall’altro genitore che non l’ha in custodia permanente. Nei casi in cui i due genitori non si sentano di incontrarsi “faccia a faccia”, l’assistente dei servizi Children’s Contact può facilitare e supervisionare l’incontro.</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lastRenderedPageBreak/>
        <w:t xml:space="preserve">Il tribunale e i Servizi Children’s Contact </w:t>
      </w:r>
    </w:p>
    <w:p w:rsidR="005E79E3" w:rsidRPr="00E422FD" w:rsidRDefault="002928BE" w:rsidP="005E79E3">
      <w:pPr>
        <w:spacing w:before="100" w:beforeAutospacing="1" w:after="100" w:afterAutospacing="1" w:line="240" w:lineRule="auto"/>
        <w:rPr>
          <w:rFonts w:eastAsia="Times New Roman" w:cs="Arial"/>
          <w:szCs w:val="24"/>
          <w:lang w:eastAsia="en-AU"/>
        </w:rPr>
      </w:pPr>
      <w:r w:rsidRPr="00FA0950">
        <w:t xml:space="preserve">Se decidete di rivolgervi al tribunale per una decisione che riguarda vostro figlio, il giudice può </w:t>
      </w:r>
      <w:r>
        <w:t>ordinare un trasferimento controllato</w:t>
      </w:r>
      <w:r w:rsidRPr="00FA0950">
        <w:t xml:space="preserve"> oppure </w:t>
      </w:r>
      <w:r>
        <w:t>delle visite tra genitore e figlio o altri membri della famiglia, controllate da</w:t>
      </w:r>
      <w:r w:rsidRPr="00FA0950">
        <w:t xml:space="preserve"> un assistente dei servizi </w:t>
      </w:r>
      <w:r w:rsidRPr="00FA0950">
        <w:rPr>
          <w:lang w:bidi="en-US"/>
        </w:rPr>
        <w:t>Children’s Contact</w:t>
      </w:r>
      <w:r>
        <w:rPr>
          <w:lang w:bidi="en-US"/>
        </w:rPr>
        <w: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Se il tribunale vi ha ordinato di rivolgervi ai Servizi Children’s Contact, i membri di questo servizio faranno del loro meglio per aiutarvi a eseguire l’ordinanza, a patto che voi e il vostro ex partner possediate i requisiti e le risorse appropriate. Il servizio Children’s Contact non è vincolato da ordinanza del tribunale.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 xml:space="preserve">Potreste aver bisogno di tornare in tribunale nei casi in cui l’ordinanza emessa dal tribunale sia scaduta, se lo staff di Children’s Contact non è più in grado di garantire il servizio, oppure se il Servizio raccomanda una variazione dell’ordine per iscritto a voi e all’altro genitore. Se voi e l’altro genitore accettate per iscritto di organizzare un nuovo accordo per trascorrere del tempo con vostro figlio, è possibile che dobbiate ritornare in tribunale per richiedere il consenso del giudice. Il tribunale </w:t>
      </w:r>
      <w:r w:rsidRPr="002928BE">
        <w:rPr>
          <w:rFonts w:eastAsia="Times New Roman" w:cs="Arial"/>
          <w:szCs w:val="24"/>
          <w:lang w:bidi="it-IT"/>
        </w:rPr>
        <w:t>dar</w:t>
      </w:r>
      <w:r w:rsidR="002928BE" w:rsidRPr="002928BE">
        <w:t>à</w:t>
      </w:r>
      <w:r w:rsidRPr="002928BE">
        <w:rPr>
          <w:rFonts w:eastAsia="Times New Roman" w:cs="Arial"/>
          <w:szCs w:val="24"/>
          <w:lang w:bidi="it-IT"/>
        </w:rPr>
        <w:t xml:space="preserve"> </w:t>
      </w:r>
      <w:r w:rsidRPr="00E422FD">
        <w:rPr>
          <w:rFonts w:eastAsia="Times New Roman" w:cs="Arial"/>
          <w:szCs w:val="24"/>
          <w:lang w:bidi="it-IT"/>
        </w:rPr>
        <w:t>il consenso solo se ritiene che il nuovo accordo sia preso nel migliore interesse del bambino.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Il Servizio Children’s Contact può consigliare a voi o all’altro genitore di partecipare a un programma genitoriale post-separazione. Il tribunale può ordinare la partecipazione ad altri programmi in qualsiasi momento nel corso della disputa legale per cercare di risolvere i problemi che ostacolano un genitore a passare del tempo con il figlio.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Il tribunale può chiedere di ricevere un rapporto dal Servizio Children’s Contact. Il rapporto può fornire al tribunale informazioni sul tempo trascorso con il bambino al servizio e aiutarlo a stabilire se concedere visite senza supervisione.</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 xml:space="preserve">Cosa succede </w:t>
      </w:r>
      <w:r w:rsidR="002928BE" w:rsidRPr="002928BE">
        <w:t>durante</w:t>
      </w:r>
      <w:r w:rsidR="002928BE" w:rsidRPr="008D4942">
        <w:rPr>
          <w:rFonts w:eastAsia="Times New Roman"/>
          <w:szCs w:val="32"/>
          <w:lang w:bidi="it-IT"/>
        </w:rPr>
        <w:t xml:space="preserve"> </w:t>
      </w:r>
      <w:r w:rsidRPr="008D4942">
        <w:rPr>
          <w:rFonts w:eastAsia="Times New Roman"/>
          <w:szCs w:val="32"/>
          <w:lang w:bidi="it-IT"/>
        </w:rPr>
        <w:t>le visite sotto supervisione?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Le visite dovrebbero essere un momento felice per il bambino. I Servizi Children’s Contact mettono giocattoli e attività a disposizione di genitori e figli. Un assistente del Servizio Children’s Contact osserva l’interazione tra genitore e figlio in ogni momento.</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Chi può rivolgersi al Servizio Children’s Contact?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Le famiglie separate possono ricevere assistenza da questo servizio. Potete usare il Servizio Children’s Contact anche se non siete mai stati sposati o non avete vissuto con il genitore di vostro figlio.</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t>Quando usare il Servizio Children’s Contact?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Questo servizio si può usare volontariamente oppure perché è stato disposto dal giudice del tribunale. Il tribunale può decidere che il trasferimento dei figli da un genitore all’altro e le visite tra genitore e figli avvengano sotto supervisione.</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it-IT"/>
        </w:rPr>
        <w:lastRenderedPageBreak/>
        <w:t>Quali informazioni posso ottenere dal Servizio Children’s Contact?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Il Servizio Children’s Contact vi spiegherà le regole di sicurezza per usare il servizio e vi indirizzerà ad altri servizi che possano esservi di assistenza.</w:t>
      </w:r>
    </w:p>
    <w:p w:rsidR="005E79E3" w:rsidRPr="00EB1BAD" w:rsidRDefault="005E79E3" w:rsidP="00EB1BAD">
      <w:pPr>
        <w:pStyle w:val="Heading1"/>
        <w:keepNext/>
        <w:keepLines/>
        <w:rPr>
          <w:rFonts w:eastAsia="Times New Roman"/>
          <w:szCs w:val="32"/>
          <w:lang w:eastAsia="en-AU"/>
        </w:rPr>
      </w:pPr>
      <w:r w:rsidRPr="00EB1BAD">
        <w:rPr>
          <w:rFonts w:eastAsia="Times New Roman"/>
          <w:szCs w:val="32"/>
          <w:lang w:bidi="it-IT"/>
        </w:rPr>
        <w:t>Cosa dovrei dire a mio figlio riguardo le visite sotto supervisione?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Parlate con vostro figlio usando parole semplici. Ditegli che trascorrerà del tempo con l’altro genitore o con un membro della famiglia. Descrivete il posto in cui si svolgono le visite come sicuro e amichevole.  Portate vostro figlio a visitare il Servizio Children’s Contact prima dell’inizio delle visite. Assicuratevi che il bambino sappia chi va a vedere, per quanto tempo e chi lo riprenderà per accompagnarlo a casa.</w:t>
      </w:r>
    </w:p>
    <w:p w:rsidR="005E79E3" w:rsidRPr="002F0A52" w:rsidRDefault="002928BE" w:rsidP="00EB1BAD">
      <w:pPr>
        <w:pStyle w:val="Heading1"/>
        <w:keepNext/>
        <w:keepLines/>
        <w:rPr>
          <w:rFonts w:eastAsia="Times New Roman"/>
          <w:szCs w:val="32"/>
          <w:lang w:eastAsia="en-AU"/>
        </w:rPr>
      </w:pPr>
      <w:r w:rsidRPr="00FA0950">
        <w:t xml:space="preserve">Quanto tempo deve trascorrere prima </w:t>
      </w:r>
      <w:r w:rsidRPr="002928BE">
        <w:t xml:space="preserve">che le visite fra genitore e figlio non avvengano più sotto supervisione? </w:t>
      </w:r>
      <w:r w:rsidR="005E79E3" w:rsidRPr="002928BE">
        <w:rPr>
          <w:rFonts w:eastAsia="Times New Roman"/>
          <w:szCs w:val="32"/>
          <w:lang w:bidi="it-IT"/>
        </w:rPr>
        <w:t xml:space="preserve"> </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Spesso i rapporti genitore e figlio migliorano e non richiedono più un controllo esterno. A volte invece, il controllo va vanti per un periodo più esteso. Se le visite sotto supervisione sono state ordinate dal tribunale, andranno avanti fino a quando il giudice non stabilisce diversamente.</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t>Che fare se temete per la vostra sicurezza?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I Servizi Children’s Contact garantiscono la sicurezza dei clienti e dello staff. Se siete preoccupati per la vostra sicurezza o quella dei vostri figli, comunicatelo allo staff dei Servizi il più presto possibile.</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t>Mio figlio è al sicuro?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Se siete preoccupati per la sicurezza di vostro figlio durante le visite, discutetene con il Servizio Children’s Contact prima della prima visita.</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t>Quello che viene detto ai Servizi Children’s Contact è confidenziale?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No, tutto quello che viene detto può essere riportato come prova in tribunale. I Servizi Children’s Contact possono redigere rapporti con le loro osservazioni fatte nel corso delle visite sotto supervisione o durante il trasferimento dei figli. Questi rapporti potranno essere presentati a voi, al tribunale, al vostro avvocato o all’avvocato indipendente designato a rappresentare vostro figlio.</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lastRenderedPageBreak/>
        <w:t>È neutrale la supervisione?</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 xml:space="preserve">I servizi Children’s Contact non si schierano. Sono focalizzati sul bambino e non sulle dispute dei genitori o degli altri membri della famiglia. </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t>Quanto costa il servizio?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it-IT"/>
        </w:rPr>
        <w:t>Le visite sotto supervisione e il trasferimento dei figli organizzate dai Servizi Children’s Contact sono a pagamento. Fate sapere agli erogatori del Servizio se avete un reddito basso o attraversate un periodo di difficoltà finanziarie, in modo da accedere al servizio grazie a speciali agevolazioni.</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it-IT"/>
        </w:rPr>
        <w:t>Come contattare il Servizio Children’s Contact?</w:t>
      </w:r>
    </w:p>
    <w:p w:rsidR="005E79E3" w:rsidRPr="002928BE" w:rsidRDefault="002928BE" w:rsidP="005E79E3">
      <w:pPr>
        <w:pStyle w:val="NormalWeb"/>
        <w:rPr>
          <w:rFonts w:ascii="Arial" w:hAnsi="Arial" w:cs="Arial"/>
        </w:rPr>
      </w:pPr>
      <w:r w:rsidRPr="002928BE">
        <w:rPr>
          <w:rFonts w:ascii="Arial" w:hAnsi="Arial" w:cs="Arial"/>
        </w:rPr>
        <w:t>Per informazioni  su come rivolgersi a questi servizi, telefonate alla</w:t>
      </w:r>
      <w:r w:rsidRPr="002928BE">
        <w:rPr>
          <w:rFonts w:ascii="Arial" w:hAnsi="Arial" w:cs="Arial"/>
          <w:lang w:bidi="en-US"/>
        </w:rPr>
        <w:t xml:space="preserve"> Family Relationship Advice Line al numero </w:t>
      </w:r>
      <w:r w:rsidRPr="002928BE">
        <w:rPr>
          <w:rFonts w:ascii="Arial" w:hAnsi="Arial" w:cs="Arial"/>
          <w:b/>
          <w:lang w:bidi="en-US"/>
        </w:rPr>
        <w:t>1800 050 321</w:t>
      </w:r>
      <w:r w:rsidRPr="002928BE">
        <w:rPr>
          <w:rFonts w:ascii="Arial" w:hAnsi="Arial" w:cs="Arial"/>
          <w:lang w:bidi="en-US"/>
        </w:rPr>
        <w:t xml:space="preserve"> dalle </w:t>
      </w:r>
      <w:r w:rsidRPr="002928BE">
        <w:rPr>
          <w:rFonts w:ascii="Arial" w:hAnsi="Arial" w:cs="Arial"/>
          <w:b/>
          <w:lang w:bidi="en-US"/>
        </w:rPr>
        <w:t>8 alle 20  dal lunedì al venerdì</w:t>
      </w:r>
      <w:r w:rsidRPr="002928BE">
        <w:rPr>
          <w:rFonts w:ascii="Arial" w:hAnsi="Arial" w:cs="Arial"/>
          <w:lang w:bidi="en-US"/>
        </w:rPr>
        <w:t xml:space="preserve"> e </w:t>
      </w:r>
      <w:r w:rsidRPr="002928BE">
        <w:rPr>
          <w:rFonts w:ascii="Arial" w:hAnsi="Arial" w:cs="Arial"/>
          <w:b/>
          <w:lang w:bidi="en-US"/>
        </w:rPr>
        <w:t>dalle</w:t>
      </w:r>
      <w:r w:rsidRPr="002928BE">
        <w:rPr>
          <w:rFonts w:ascii="Arial" w:hAnsi="Arial" w:cs="Arial"/>
          <w:lang w:bidi="en-US"/>
        </w:rPr>
        <w:t xml:space="preserve"> </w:t>
      </w:r>
      <w:r w:rsidRPr="002928BE">
        <w:rPr>
          <w:rFonts w:ascii="Arial" w:hAnsi="Arial" w:cs="Arial"/>
          <w:b/>
          <w:lang w:bidi="en-US"/>
        </w:rPr>
        <w:t>10 alle 16 il sabato</w:t>
      </w:r>
      <w:r w:rsidRPr="002928BE">
        <w:rPr>
          <w:rFonts w:ascii="Arial" w:hAnsi="Arial" w:cs="Arial"/>
          <w:lang w:bidi="en-US"/>
        </w:rPr>
        <w:t xml:space="preserve"> (festivi esclusi).</w:t>
      </w:r>
    </w:p>
    <w:p w:rsidR="00B23840" w:rsidRPr="002928BE" w:rsidRDefault="005E79E3" w:rsidP="005E79E3">
      <w:pPr>
        <w:pStyle w:val="NormalWeb"/>
        <w:rPr>
          <w:rFonts w:ascii="Arial" w:eastAsia="Calibri" w:hAnsi="Arial" w:cs="Arial"/>
          <w:color w:val="0000FF"/>
          <w:u w:val="single"/>
        </w:rPr>
      </w:pPr>
      <w:r w:rsidRPr="002928BE">
        <w:rPr>
          <w:rFonts w:ascii="Arial" w:hAnsi="Arial" w:cs="Arial"/>
          <w:lang w:bidi="it-IT"/>
        </w:rPr>
        <w:t xml:space="preserve">Visitate la Family Relationships collegandovi online al seguente indirizzo: </w:t>
      </w:r>
      <w:hyperlink r:id="rId8" w:history="1">
        <w:r w:rsidRPr="002928BE">
          <w:rPr>
            <w:rStyle w:val="Hyperlink"/>
            <w:rFonts w:ascii="Arial" w:hAnsi="Arial" w:cs="Arial"/>
            <w:lang w:bidi="it-IT"/>
          </w:rPr>
          <w:t>www.familyrelationships.gov.au</w:t>
        </w:r>
      </w:hyperlink>
      <w:bookmarkStart w:id="0" w:name="_GoBack"/>
      <w:bookmarkEnd w:id="0"/>
    </w:p>
    <w:sectPr w:rsidR="00B23840" w:rsidRPr="002928BE"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C7" w:rsidRDefault="00DF73C7" w:rsidP="00F149CE">
      <w:pPr>
        <w:spacing w:before="0" w:after="0" w:line="240" w:lineRule="auto"/>
      </w:pPr>
      <w:r>
        <w:separator/>
      </w:r>
    </w:p>
  </w:endnote>
  <w:endnote w:type="continuationSeparator" w:id="0">
    <w:p w:rsidR="00DF73C7" w:rsidRDefault="00DF73C7"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C7" w:rsidRDefault="00DF73C7" w:rsidP="00F149CE">
      <w:pPr>
        <w:spacing w:before="0" w:after="0" w:line="240" w:lineRule="auto"/>
      </w:pPr>
      <w:r>
        <w:separator/>
      </w:r>
    </w:p>
  </w:footnote>
  <w:footnote w:type="continuationSeparator" w:id="0">
    <w:p w:rsidR="00DF73C7" w:rsidRDefault="00DF73C7"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E47273E" wp14:editId="4AB942B3">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134E55"/>
    <w:rsid w:val="00137A50"/>
    <w:rsid w:val="001C6868"/>
    <w:rsid w:val="001E630D"/>
    <w:rsid w:val="001F7142"/>
    <w:rsid w:val="002928BE"/>
    <w:rsid w:val="002A676A"/>
    <w:rsid w:val="002D3E67"/>
    <w:rsid w:val="002F0A52"/>
    <w:rsid w:val="003517C8"/>
    <w:rsid w:val="00367423"/>
    <w:rsid w:val="003B2BB8"/>
    <w:rsid w:val="003D34FF"/>
    <w:rsid w:val="00485E51"/>
    <w:rsid w:val="004B54CA"/>
    <w:rsid w:val="004E5CBF"/>
    <w:rsid w:val="0054328E"/>
    <w:rsid w:val="0058694E"/>
    <w:rsid w:val="005C3AA9"/>
    <w:rsid w:val="005D766C"/>
    <w:rsid w:val="005E79E3"/>
    <w:rsid w:val="00622455"/>
    <w:rsid w:val="006A4CE7"/>
    <w:rsid w:val="006A6A32"/>
    <w:rsid w:val="00755A80"/>
    <w:rsid w:val="00784662"/>
    <w:rsid w:val="00785261"/>
    <w:rsid w:val="007B0256"/>
    <w:rsid w:val="008D4942"/>
    <w:rsid w:val="008D62C6"/>
    <w:rsid w:val="009225F0"/>
    <w:rsid w:val="00B23840"/>
    <w:rsid w:val="00B5570F"/>
    <w:rsid w:val="00BA2DB9"/>
    <w:rsid w:val="00BE7148"/>
    <w:rsid w:val="00DF73C7"/>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A2D96E-F41D-400D-9062-A937CD83559B}"/>
</file>

<file path=customXml/itemProps2.xml><?xml version="1.0" encoding="utf-8"?>
<ds:datastoreItem xmlns:ds="http://schemas.openxmlformats.org/officeDocument/2006/customXml" ds:itemID="{A78E9740-FF17-4692-89DF-6989A571D1F2}"/>
</file>

<file path=customXml/itemProps3.xml><?xml version="1.0" encoding="utf-8"?>
<ds:datastoreItem xmlns:ds="http://schemas.openxmlformats.org/officeDocument/2006/customXml" ds:itemID="{A742A108-CEE6-48F7-96A0-8EE31E6A5C2C}"/>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Piano di affidamento congiunto</vt:lpstr>
    </vt:vector>
  </TitlesOfParts>
  <Company>Australian Government</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affidamento congiunto</dc:title>
  <dc:creator>TUCK, Anita</dc:creator>
  <cp:lastModifiedBy>user</cp:lastModifiedBy>
  <cp:revision>2</cp:revision>
  <dcterms:created xsi:type="dcterms:W3CDTF">2015-06-19T06:35:00Z</dcterms:created>
  <dcterms:modified xsi:type="dcterms:W3CDTF">2015-06-19T06:35:00Z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