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8D4942" w:rsidRDefault="00FF3426" w:rsidP="00F149CE">
      <w:pPr>
        <w:pStyle w:val="Title"/>
        <w:rPr>
          <w:szCs w:val="64"/>
        </w:rPr>
      </w:pPr>
      <w:r w:rsidRPr="008D4942">
        <w:rPr>
          <w:szCs w:val="64"/>
          <w:lang w:bidi="tr-TR"/>
        </w:rPr>
        <w:t>Denetimli ziyaretler ve nakiller</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tr-TR"/>
        </w:rPr>
        <w:t>Ayrılan anne-babalar şiddetli anlaşmazlıklar yaşadığından ya da şiddete dair endişeler olduğundan, Avustralya Hükümeti çocukların bir ebeveynden diğerine güvenli şekilde nakledilmesini sağlamak ve her bir ebeveynin çocuklarıyla vakit geçirebilmeleri amacıyla denetimli ziyaretler temin etmek için Çocuk İletişim Hizmetlerini oluşturmuştur.</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bidi="tr-TR"/>
        </w:rPr>
        <w:t>Çocuk İletişim Hizmeti nedir?</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tr-TR"/>
        </w:rPr>
        <w:t>Çocuk İletişim Hizmetleri, ayrılmış ailelerin çocuklarının beraber yaşamadığı ebeveynleri ile ilişki kurabilmelerine ve bu ilişkiyi sürdürebilmelerine yardımcı olur. Aileler ayrıldığında ve çocuğun bir ebeveynden diğerine nakli bir sorun oluşturduğunda Çocuk İletişim Hizmeti güvenli nakil için tarafsız bir mekan sağlar.</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tr-TR"/>
        </w:rPr>
        <w:t>Gerektiğinde ya da bu konuda bir mahkeme kararı olduğunda, bu Hizmet birimi çocukların bir ebeveyni ya da diğer aile fertleri ile geçirdiği zamana nezaret edebilir. Bazı durumlarda bunun sebebi çocuğun şiddet gördüğüne dair iddialardır. Bazı durumlarda ise bunun sebebi, çocuğun beraber çok az vakit geçirdiği ya da hiç vakit geçirmediği bir ebeveyni ya da aile ferdi ile yeniden bir araya geliyor olmasıdır.</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bidi="tr-TR"/>
        </w:rPr>
        <w:t>Denetimli ziyaret nedir?</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tr-TR"/>
        </w:rPr>
        <w:t>Bir çocuk, diğer ebeveyni ya da başka bir aile ferdi ile vakit geçireceği güvenli ve kontrol altında bir duruma ihtiyaç duyduğunda bu ziyaret bir Çocuk İletişim Hizmeti çalışanının denetimi altında yapılabilir.</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bidi="tr-TR"/>
        </w:rPr>
        <w:t>Denetimli nakil nedir?</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tr-TR"/>
        </w:rPr>
        <w:t>Ayrılan ailelerde bir çocuğun her gün beraber olup bakımını sağlamayan ebeveynine ya da başka bir aile ferdine ‘teslim edilmesi’ ya da bunlardan ‘teslim alınması’ gereken durumlar olabilir. Diğer ebeveynin yüz yüze gelmekten rahatsız olduğu durumlarda çocuğun naklini bir Çocuk İletişim Hizmeti çalışanı kolaylaştırabilir ya da bu işleme nezaret edebilir.</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bidi="tr-TR"/>
        </w:rPr>
        <w:t>Mahkemeler ve Çocuk İletişim Hizmetleri</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tr-TR"/>
        </w:rPr>
        <w:t xml:space="preserve">Çocuğunuza dair bir karar alınması için mahkemeye başvurmaya karar verirseniz, mahkeme sizin denetimli nakillere katılmanız ya da bir ebeveynin ya da diğer bir aile ferdinin çocukla </w:t>
      </w:r>
      <w:r w:rsidRPr="00E422FD">
        <w:rPr>
          <w:rFonts w:eastAsia="Times New Roman" w:cs="Arial"/>
          <w:szCs w:val="24"/>
          <w:lang w:bidi="tr-TR"/>
        </w:rPr>
        <w:lastRenderedPageBreak/>
        <w:t>belli bir Çocuk İletişim Hizmeti denetimi altında birlikte vakit geçirmesi doğrultusunda karar alabilir.</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tr-TR"/>
        </w:rPr>
        <w:t>Mahkeme tarafından bir Çocuk İletişim Hizmetine katılmanız doğrultusunda bir karar alınırsa, sizin ve diğer ebeveynin ilgili kriterleri karşılaması durumunda bu Hizmet birimi sizin bu karara uymanız için elinden gelenin en iyisini yapacaktır ve kullanılabilir uygun imkan ve kaynaklara sahiptir. Çocuk İletişim Hizmeti mahkeme kararı ile bağlı değildir.</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tr-TR"/>
        </w:rPr>
        <w:t>Mahkeme kararının süresinin dolması, Çocuk İletişim Hizmetinin hizmetlerini artık sürdürememesi ya da bu Hizmet biriminin ilgili mahkeme kararında bir değişikliğe gidilmesini size ve diğer ebeveyne yazılı olarak önermesi durumunda yeniden mahkemeye başvurabilirsiniz. Siz ve diğer ebeveyn, çocuğunuzla vakit geçirmeye dair yeni düzenlemeler yapmaya yazılı olarak anlaşırsanız, muvafakat kararlarının alınabilmesi için yeniden mahkeme başvurmanız gerekebilir. Mahkeme böyle bir muvafakat kararını ancak çocuğun menfaati için en uygun kararın bu olması durumunda verir.</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tr-TR"/>
        </w:rPr>
        <w:t>Çocuk İletişim Hizmeti, sizin veya diğer ebeveynin bir ayrılık sonrası anne-babalık programına katılmanızı önerebilir. Bir mahkeme, her bir ebeveynin çocuğuyla vakit geçirme şekliyle ilgili sorunları çözmeye çalışmak amacıyla mahkeme safhasında istediği zaman başka programlara katılınması yönünde bir karar alabilir.</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tr-TR"/>
        </w:rPr>
        <w:t>Bir mahkeme, Çocuk İletişim Hizmetinden bir rapor isteyebilir. Bu raporlar mahkemeye çocukla bu Hizmet biriminde geçirilen vakit hakkında bilgiler sunabilir ve denetimsiz ziyarete izin verilip verilmemesine karar verilmesi hususunda mahkemeye yardımcı olabilir.</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bidi="tr-TR"/>
        </w:rPr>
        <w:t>Denetimli ziyaret sırasında neler olur?</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tr-TR"/>
        </w:rPr>
        <w:t>Bu ziyaretler çocuk için mutlu geçirilen vakitler olmalıdır. Çocuk İletişim Hizmeti çocukların ve anne-babalarının kullanımı için bir dizi oyuncak ve faaliyet sunar. Bir Çocuk İletişim Hizmeti çalışanı, çocuk ile ebeveyni arasındaki etkileşimi her zaman gözlemler.</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bidi="tr-TR"/>
        </w:rPr>
        <w:t>Bir Çocuk İletişim Hizmetine kimler başvurabilir?</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tr-TR"/>
        </w:rPr>
        <w:t>Bir Çocuk İletişim Hizmeti, ayrılmış ailelere yardımcı olabilir. Çocuğun diğer ebeveyni ile evlenmiş ya da beraber yaşamış olsanız da olmasanız da bir Çocuk İletişim Hizmetine başvurabilirsiniz.</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bidi="tr-TR"/>
        </w:rPr>
        <w:t>Bir Çocuk İletişim Hizmetini ne zaman kullanabilirim?</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tr-TR"/>
        </w:rPr>
        <w:t>Bir Çocuk İletişim Hizmetini kendi isteğinizle ya da bir mahkeme tarafından bu Hizmeti kullanmanıza dair bir karar alınması durumunda kullanabilirsiniz. Mahkeme, çocukların teslim edilmesinin ya da bir ebeveyn veya diğer bir aile ferdi ile geçirdiği vaktin denetimli olarak yapılması yönünde bir karar alabilir.</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bidi="tr-TR"/>
        </w:rPr>
        <w:lastRenderedPageBreak/>
        <w:t>Bir Çocuk İletişim Hizmeti bana hangi bilgileri sağlar?</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tr-TR"/>
        </w:rPr>
        <w:t>Bir Çocuk İletişim Hizmeti, bu Hizmetin kullanılmasıyla ilgili güvenlik kurallarını açıklar ve size yardımcı olabilecek diğer hizmetleri size anlatabilir.</w:t>
      </w:r>
    </w:p>
    <w:p w:rsidR="005E79E3" w:rsidRPr="00EB1BAD" w:rsidRDefault="005E79E3" w:rsidP="00EB1BAD">
      <w:pPr>
        <w:pStyle w:val="Heading1"/>
        <w:keepNext/>
        <w:keepLines/>
        <w:rPr>
          <w:rFonts w:eastAsia="Times New Roman"/>
          <w:szCs w:val="32"/>
          <w:lang w:eastAsia="en-AU"/>
        </w:rPr>
      </w:pPr>
      <w:r w:rsidRPr="00EB1BAD">
        <w:rPr>
          <w:rFonts w:eastAsia="Times New Roman"/>
          <w:szCs w:val="32"/>
          <w:lang w:bidi="tr-TR"/>
        </w:rPr>
        <w:t>Çocuğuma denetimli ziyaret ya da nakil konusunda neler söylemeliyim?</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tr-TR"/>
        </w:rPr>
        <w:t>Çocuğunuzla basit ve açık kelimelerle konuşun. Diğer ebeveyni ya da aile ferdi ile nerede buluşacağını ya da vakit geçireceğini ona anlatın. Burasını güvenli ve arkadaşça bir yer olarak tanıtın. Denetimli ziyaretler ya da nakiller başlamadan önce onu Çocuk İletişim Hizmetine ziyarete götürün. Çocuğun kimle görüşeceğini, ne kadar süreyle görüşeceğini ve ziyaret bittikten sonra onu kimin alıp eve getireceğini bilmesini sağlayın.</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bidi="tr-TR"/>
        </w:rPr>
        <w:t>Bir ebeveynin çocuğuyla denetimli şekilde vakit geçirmesi ne kadar sürmelidir?</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tr-TR"/>
        </w:rPr>
        <w:t>Ebeveyn ile çocuk arasındaki ilişki çoğu zaman ilerlediğinden, denetim artık gerekmez hale gelir. Bazen denetim uzun süre devam edebilir. Denetimli ziyaret ya da nakiller mahkeme kararı ise, mahkeme aksi bir karar verene kadar bu durum devam eder.</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bidi="tr-TR"/>
        </w:rPr>
        <w:t>Kendinizi güvende hissetmiyorsanız ne yapmalısınız?</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tr-TR"/>
        </w:rPr>
        <w:t>Çocuk İletişim Hizmetleri, müşterilerin ve personelin güvenliğine yönelik düzenlemelere sahiptir. Kendinizin ya da çocuklarınızın güvenliğine dair endişe taşıyorsanız bunu en kısa zamanda bu Hizmeti sunan personele bildirmelisiniz.</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bidi="tr-TR"/>
        </w:rPr>
        <w:t>Çocuğum güvende olacak mı?</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tr-TR"/>
        </w:rPr>
        <w:t>Ziyaretler sırasında çocuğun güvenliğine dair endişeleriniz varsa ilk ziyaretten önce bu durumu Çocuk İletişim Hizmeti ile görüşün.</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bidi="tr-TR"/>
        </w:rPr>
        <w:t>Bir Çocuk İletişim Hizmetinde konuştuklarım gizli kalır mı?</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tr-TR"/>
        </w:rPr>
        <w:t>Hayır, bir Çocuk İletişim Hizmetinde söylenen ya da yapılan her şey herhangi bir mahkemeye bir delil olarak bildirilebilir. Çocuk İletişim Hizmetleri, çalışanların denetimli bir ziyaret ya da çocuğun size nakli sırasında gözlemlediklerine dair mahkemeye, avukatınıza ya da çocuğunuzu temsil etmesi için tayin edilen bağımsız avukata raporlar sunabilir.</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bidi="tr-TR"/>
        </w:rPr>
        <w:t>Denetim tarafsız mı gerçekleşir?</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tr-TR"/>
        </w:rPr>
        <w:t>Çocuk İletişim Hizmeti çalışanları tarafsızdır. Onlar çocuğun durumuna odaklanır, anne-babalar ya da diğer aile fertleri arasında olabilen anlaşmazlıklara değil.</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bidi="tr-TR"/>
        </w:rPr>
        <w:lastRenderedPageBreak/>
        <w:t>Maliyeti ne kadardır?</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tr-TR"/>
        </w:rPr>
        <w:t>Çocuk İletişim Hizmetleri, denetimli ziyaretler ve nakiller için bir ücret uygular. Eğer geliriniz düşükse ya da mali sıkıntı yaşıyorsanız bunu Danışmanlık Hizmeti birimine bildirin, zira bu Hizmet birimi söz konusu hizmeti alabilmenize yönelik düzenlemelere sahiptir.</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bidi="tr-TR"/>
        </w:rPr>
        <w:t>Bir Çocuk İletişim Hizmetine nasıl başvurabilirim?</w:t>
      </w:r>
    </w:p>
    <w:p w:rsidR="005E79E3" w:rsidRPr="00E422FD" w:rsidRDefault="005E79E3" w:rsidP="005E79E3">
      <w:pPr>
        <w:pStyle w:val="NormalWeb"/>
        <w:rPr>
          <w:rFonts w:ascii="Arial" w:hAnsi="Arial" w:cs="Arial"/>
        </w:rPr>
      </w:pPr>
      <w:r w:rsidRPr="00E422FD">
        <w:rPr>
          <w:rFonts w:ascii="Arial" w:hAnsi="Arial" w:cs="Arial"/>
          <w:lang w:bidi="tr-TR"/>
        </w:rPr>
        <w:t xml:space="preserve">Bu hizmetler hakkında daha fazla bilgi ve başvuru ayrıntıları için </w:t>
      </w:r>
      <w:r w:rsidRPr="00051264">
        <w:rPr>
          <w:rFonts w:ascii="Arial" w:hAnsi="Arial" w:cs="Arial"/>
          <w:b/>
          <w:lang w:bidi="tr-TR"/>
        </w:rPr>
        <w:t>Pazartesi - Cuma 08:00 - 20:00 arası ve Cumartesi günleri 10:00 - 16:00 arası</w:t>
      </w:r>
      <w:r w:rsidRPr="00E422FD">
        <w:rPr>
          <w:rFonts w:ascii="Arial" w:hAnsi="Arial" w:cs="Arial"/>
          <w:lang w:bidi="tr-TR"/>
        </w:rPr>
        <w:t xml:space="preserve"> (resmi tatiller hariç) </w:t>
      </w:r>
      <w:r w:rsidRPr="00051264">
        <w:rPr>
          <w:rFonts w:ascii="Arial" w:hAnsi="Arial" w:cs="Arial"/>
          <w:b/>
          <w:lang w:bidi="tr-TR"/>
        </w:rPr>
        <w:t>1800 050 321</w:t>
      </w:r>
      <w:r w:rsidRPr="00E422FD">
        <w:rPr>
          <w:rFonts w:ascii="Arial" w:hAnsi="Arial" w:cs="Arial"/>
          <w:lang w:bidi="tr-TR"/>
        </w:rPr>
        <w:t xml:space="preserve"> numaralı telefondan Aile İlişkileri Danışma Hattını arayabilirsiniz.</w:t>
      </w:r>
    </w:p>
    <w:p w:rsidR="00B23840" w:rsidRPr="00051264" w:rsidRDefault="005E79E3" w:rsidP="005E79E3">
      <w:pPr>
        <w:pStyle w:val="NormalWeb"/>
        <w:rPr>
          <w:rFonts w:ascii="Arial" w:eastAsia="Calibri" w:hAnsi="Arial" w:cs="Arial"/>
          <w:color w:val="0000FF"/>
          <w:u w:val="single"/>
        </w:rPr>
      </w:pPr>
      <w:r w:rsidRPr="00051264">
        <w:rPr>
          <w:rFonts w:ascii="Arial" w:hAnsi="Arial" w:cs="Arial"/>
          <w:lang w:bidi="tr-TR"/>
        </w:rPr>
        <w:t xml:space="preserve">Ayrıca, </w:t>
      </w:r>
      <w:hyperlink r:id="rId8" w:history="1">
        <w:r w:rsidRPr="00051264">
          <w:rPr>
            <w:rStyle w:val="Hyperlink"/>
            <w:rFonts w:ascii="Arial" w:hAnsi="Arial" w:cs="Arial"/>
            <w:lang w:bidi="tr-TR"/>
          </w:rPr>
          <w:t>www.familyrelationships.gov.au</w:t>
        </w:r>
      </w:hyperlink>
      <w:r w:rsidRPr="00051264">
        <w:rPr>
          <w:rFonts w:ascii="Arial" w:hAnsi="Arial" w:cs="Arial"/>
          <w:lang w:bidi="tr-TR"/>
        </w:rPr>
        <w:t xml:space="preserve"> adresinden Aile İlişkileri Çevrimiçi hizmetine başvurabilirsiniz</w:t>
      </w:r>
      <w:bookmarkStart w:id="0" w:name="_GoBack"/>
      <w:bookmarkEnd w:id="0"/>
    </w:p>
    <w:sectPr w:rsidR="00B23840" w:rsidRPr="00051264" w:rsidSect="00367423">
      <w:headerReference w:type="even" r:id="rId9"/>
      <w:headerReference w:type="default" r:id="rId10"/>
      <w:footerReference w:type="even" r:id="rId11"/>
      <w:footerReference w:type="default" r:id="rId12"/>
      <w:headerReference w:type="first" r:id="rId13"/>
      <w:footerReference w:type="first" r:id="rId14"/>
      <w:pgSz w:w="11906" w:h="16838"/>
      <w:pgMar w:top="1440" w:right="1191" w:bottom="1440" w:left="907" w:header="227" w:footer="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838" w:rsidRDefault="007B3838" w:rsidP="00F149CE">
      <w:pPr>
        <w:spacing w:before="0" w:after="0" w:line="240" w:lineRule="auto"/>
      </w:pPr>
      <w:r>
        <w:separator/>
      </w:r>
    </w:p>
  </w:endnote>
  <w:endnote w:type="continuationSeparator" w:id="0">
    <w:p w:rsidR="007B3838" w:rsidRDefault="007B3838"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838" w:rsidRDefault="007B3838" w:rsidP="00F149CE">
      <w:pPr>
        <w:spacing w:before="0" w:after="0" w:line="240" w:lineRule="auto"/>
      </w:pPr>
      <w:r>
        <w:separator/>
      </w:r>
    </w:p>
  </w:footnote>
  <w:footnote w:type="continuationSeparator" w:id="0">
    <w:p w:rsidR="007B3838" w:rsidRDefault="007B3838"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3E47273E" wp14:editId="4AB942B3">
          <wp:extent cx="7155189" cy="1612757"/>
          <wp:effectExtent l="0" t="0" r="0" b="6985"/>
          <wp:docPr id="1" name="Picture 1" descr="Australian Government logo. Word graphic highlighting the words: safe, interaction, maintain relationships, assistance, children, supervised visits, support and 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E3"/>
    <w:rsid w:val="00002E06"/>
    <w:rsid w:val="0000597D"/>
    <w:rsid w:val="00051264"/>
    <w:rsid w:val="00134E55"/>
    <w:rsid w:val="00137A50"/>
    <w:rsid w:val="001C6868"/>
    <w:rsid w:val="001E630D"/>
    <w:rsid w:val="001F7142"/>
    <w:rsid w:val="002A676A"/>
    <w:rsid w:val="002D3E67"/>
    <w:rsid w:val="002F0A52"/>
    <w:rsid w:val="003517C8"/>
    <w:rsid w:val="00367423"/>
    <w:rsid w:val="003B2BB8"/>
    <w:rsid w:val="003D34FF"/>
    <w:rsid w:val="00485E51"/>
    <w:rsid w:val="004B54CA"/>
    <w:rsid w:val="004E5CBF"/>
    <w:rsid w:val="0054328E"/>
    <w:rsid w:val="0058694E"/>
    <w:rsid w:val="005C3AA9"/>
    <w:rsid w:val="005D766C"/>
    <w:rsid w:val="005E79E3"/>
    <w:rsid w:val="00622455"/>
    <w:rsid w:val="006A4CE7"/>
    <w:rsid w:val="006A6A32"/>
    <w:rsid w:val="00755A80"/>
    <w:rsid w:val="00784662"/>
    <w:rsid w:val="00785261"/>
    <w:rsid w:val="007B0256"/>
    <w:rsid w:val="007B3838"/>
    <w:rsid w:val="008D4942"/>
    <w:rsid w:val="008D62C6"/>
    <w:rsid w:val="009225F0"/>
    <w:rsid w:val="00B23840"/>
    <w:rsid w:val="00B5570F"/>
    <w:rsid w:val="00BA2DB9"/>
    <w:rsid w:val="00BE7148"/>
    <w:rsid w:val="00EB1BAD"/>
    <w:rsid w:val="00F149CE"/>
    <w:rsid w:val="00F34078"/>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5E79E3"/>
    <w:rPr>
      <w:color w:val="0000FF"/>
      <w:u w:val="single"/>
    </w:rPr>
  </w:style>
  <w:style w:type="paragraph" w:styleId="NormalWeb">
    <w:name w:val="Normal (Web)"/>
    <w:basedOn w:val="Normal"/>
    <w:uiPriority w:val="99"/>
    <w:unhideWhenUsed/>
    <w:rsid w:val="005E79E3"/>
    <w:pPr>
      <w:spacing w:before="100" w:beforeAutospacing="1" w:after="100" w:afterAutospacing="1" w:line="240" w:lineRule="auto"/>
    </w:pPr>
    <w:rPr>
      <w:rFonts w:ascii="Times New Roman" w:eastAsia="Times New Roman" w:hAnsi="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5E79E3"/>
    <w:rPr>
      <w:color w:val="0000FF"/>
      <w:u w:val="single"/>
    </w:rPr>
  </w:style>
  <w:style w:type="paragraph" w:styleId="NormalWeb">
    <w:name w:val="Normal (Web)"/>
    <w:basedOn w:val="Normal"/>
    <w:uiPriority w:val="99"/>
    <w:unhideWhenUsed/>
    <w:rsid w:val="005E79E3"/>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an\AppData\Local\Microsoft\Windows\Temporary%20Internet%20Files\Content.Outlook\IJTCCP4Q\Suprevised%20visits%20and%20changeovers%20A4%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CBD513-0270-476E-A94C-C434CC10F2A9}"/>
</file>

<file path=customXml/itemProps2.xml><?xml version="1.0" encoding="utf-8"?>
<ds:datastoreItem xmlns:ds="http://schemas.openxmlformats.org/officeDocument/2006/customXml" ds:itemID="{6F0D2AA1-6B17-4A06-B747-0BDCEDE67005}"/>
</file>

<file path=customXml/itemProps3.xml><?xml version="1.0" encoding="utf-8"?>
<ds:datastoreItem xmlns:ds="http://schemas.openxmlformats.org/officeDocument/2006/customXml" ds:itemID="{EE9BE45F-CEFA-4D2A-BD31-633ADF37AF18}"/>
</file>

<file path=docProps/app.xml><?xml version="1.0" encoding="utf-8"?>
<Properties xmlns="http://schemas.openxmlformats.org/officeDocument/2006/extended-properties" xmlns:vt="http://schemas.openxmlformats.org/officeDocument/2006/docPropsVTypes">
  <Template>Suprevised visits and changeovers A4 template (4)</Template>
  <TotalTime>0</TotalTime>
  <Pages>4</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Anne-Babalık Planları</vt:lpstr>
    </vt:vector>
  </TitlesOfParts>
  <Company>Australian Government</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Denetimli ziyaretler ve nakiller</dc:title>
  <dc:creator>TUCK, Anita</dc:creator>
  <cp:lastModifiedBy>user</cp:lastModifiedBy>
  <cp:revision>2</cp:revision>
  <dcterms:created xsi:type="dcterms:W3CDTF">2015-06-20T04:15:00Z</dcterms:created>
  <dcterms:modified xsi:type="dcterms:W3CDTF">2015-06-20T04:15:00Z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